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091B6">
      <w:pPr>
        <w:adjustRightInd w:val="0"/>
        <w:snapToGrid w:val="0"/>
        <w:jc w:val="center"/>
        <w:rPr>
          <w:rFonts w:ascii="黑体" w:hAnsi="黑体" w:eastAsia="黑体" w:cs="黑体"/>
          <w:sz w:val="44"/>
          <w:szCs w:val="44"/>
        </w:rPr>
      </w:pPr>
      <w:bookmarkStart w:id="0" w:name="_Hlk162601361"/>
      <w:r>
        <w:rPr>
          <w:rFonts w:ascii="Times New Roman" w:hAnsi="Times New Roman" w:eastAsia="黑体" w:cs="Times New Roman"/>
          <w:sz w:val="44"/>
          <w:szCs w:val="44"/>
        </w:rPr>
        <w:t>2026</w:t>
      </w:r>
      <w:r>
        <w:rPr>
          <w:rFonts w:ascii="黑体" w:hAnsi="黑体" w:eastAsia="黑体" w:cs="黑体"/>
          <w:sz w:val="44"/>
          <w:szCs w:val="44"/>
        </w:rPr>
        <w:t>年度目标导向类</w:t>
      </w:r>
      <w:r>
        <w:rPr>
          <w:rFonts w:hint="eastAsia" w:ascii="黑体" w:hAnsi="黑体" w:eastAsia="黑体" w:cs="黑体"/>
          <w:sz w:val="44"/>
          <w:szCs w:val="44"/>
        </w:rPr>
        <w:t>开放</w:t>
      </w:r>
      <w:r>
        <w:rPr>
          <w:rFonts w:ascii="黑体" w:hAnsi="黑体" w:eastAsia="黑体" w:cs="黑体"/>
          <w:sz w:val="44"/>
          <w:szCs w:val="44"/>
        </w:rPr>
        <w:t>课题</w:t>
      </w:r>
    </w:p>
    <w:p w14:paraId="32DC54F8">
      <w:pPr>
        <w:adjustRightInd w:val="0"/>
        <w:snapToGrid w:val="0"/>
        <w:jc w:val="center"/>
        <w:rPr>
          <w:rFonts w:ascii="黑体" w:hAnsi="黑体" w:eastAsia="黑体" w:cs="黑体"/>
          <w:sz w:val="44"/>
          <w:szCs w:val="44"/>
        </w:rPr>
      </w:pPr>
      <w:r>
        <w:rPr>
          <w:rFonts w:ascii="黑体" w:hAnsi="黑体" w:eastAsia="黑体" w:cs="黑体"/>
          <w:sz w:val="44"/>
          <w:szCs w:val="44"/>
        </w:rPr>
        <w:t>资助方向</w:t>
      </w:r>
      <w:bookmarkEnd w:id="0"/>
    </w:p>
    <w:p w14:paraId="0904990B">
      <w:pPr>
        <w:adjustRightInd w:val="0"/>
        <w:snapToGrid w:val="0"/>
        <w:spacing w:line="600" w:lineRule="exact"/>
        <w:ind w:firstLine="643" w:firstLineChars="200"/>
        <w:rPr>
          <w:rFonts w:ascii="Times New Roman" w:hAnsi="Times New Roman" w:eastAsia="宋体" w:cs="Times New Roman"/>
          <w:b/>
          <w:sz w:val="32"/>
          <w:szCs w:val="32"/>
        </w:rPr>
      </w:pPr>
      <w:r>
        <w:rPr>
          <w:rFonts w:ascii="Times New Roman" w:hAnsi="Times New Roman" w:eastAsia="宋体" w:cs="Times New Roman"/>
          <w:b/>
          <w:bCs/>
          <w:sz w:val="32"/>
          <w:szCs w:val="32"/>
        </w:rPr>
        <w:t>1.项</w:t>
      </w:r>
      <w:r>
        <w:rPr>
          <w:rFonts w:ascii="Times New Roman" w:hAnsi="Times New Roman" w:eastAsia="宋体" w:cs="Times New Roman"/>
          <w:b/>
          <w:sz w:val="32"/>
          <w:szCs w:val="32"/>
        </w:rPr>
        <w:t>目名称：</w:t>
      </w:r>
      <w:r>
        <w:rPr>
          <w:rFonts w:hint="eastAsia" w:ascii="Times New Roman" w:hAnsi="Times New Roman" w:eastAsia="宋体" w:cs="Times New Roman"/>
          <w:b/>
          <w:sz w:val="32"/>
          <w:szCs w:val="32"/>
        </w:rPr>
        <w:t>燃料电池工况性能衰减机理解析及抑制技术研究</w:t>
      </w:r>
    </w:p>
    <w:p w14:paraId="2EC5225C">
      <w:pPr>
        <w:adjustRightInd w:val="0"/>
        <w:snapToGrid w:val="0"/>
        <w:spacing w:line="600" w:lineRule="exact"/>
        <w:ind w:firstLine="643" w:firstLineChars="200"/>
        <w:rPr>
          <w:rFonts w:hint="eastAsia" w:ascii="Times New Roman" w:hAnsi="Times New Roman" w:eastAsia="宋体" w:cs="Times New Roman"/>
          <w:b/>
          <w:sz w:val="32"/>
          <w:szCs w:val="32"/>
        </w:rPr>
      </w:pPr>
      <w:r>
        <w:rPr>
          <w:rFonts w:hint="eastAsia" w:ascii="Times New Roman" w:hAnsi="Times New Roman" w:eastAsia="宋体" w:cs="Times New Roman"/>
          <w:b/>
          <w:sz w:val="32"/>
          <w:szCs w:val="32"/>
        </w:rPr>
        <w:t>指南方向：</w:t>
      </w:r>
      <w:r>
        <w:rPr>
          <w:rFonts w:hint="eastAsia" w:ascii="Times New Roman" w:hAnsi="Times New Roman" w:eastAsia="宋体" w:cs="Times New Roman"/>
          <w:bCs/>
          <w:sz w:val="32"/>
          <w:szCs w:val="32"/>
        </w:rPr>
        <w:t>5.燃料电池系统技术研究</w:t>
      </w:r>
    </w:p>
    <w:p w14:paraId="74D48C94">
      <w:pPr>
        <w:adjustRightInd w:val="0"/>
        <w:snapToGrid w:val="0"/>
        <w:spacing w:line="600" w:lineRule="exact"/>
        <w:ind w:firstLine="643" w:firstLineChars="200"/>
        <w:rPr>
          <w:rFonts w:hint="eastAsia" w:ascii="Times New Roman" w:hAnsi="Times New Roman" w:eastAsia="宋体" w:cs="Times New Roman"/>
          <w:bCs/>
          <w:sz w:val="32"/>
          <w:szCs w:val="32"/>
        </w:rPr>
      </w:pPr>
      <w:r>
        <w:rPr>
          <w:rFonts w:ascii="Times New Roman" w:hAnsi="Times New Roman" w:eastAsia="宋体" w:cs="Times New Roman"/>
          <w:b/>
          <w:bCs/>
          <w:sz w:val="32"/>
          <w:szCs w:val="32"/>
        </w:rPr>
        <w:t>研究内容：</w:t>
      </w:r>
      <w:r>
        <w:rPr>
          <w:rFonts w:hint="eastAsia" w:ascii="Times New Roman" w:hAnsi="Times New Roman" w:eastAsia="宋体" w:cs="Times New Roman"/>
          <w:bCs/>
          <w:sz w:val="32"/>
          <w:szCs w:val="32"/>
        </w:rPr>
        <w:t>针对燃料电池启停、变载工况高电位碳腐蚀、频繁吹扫、气水动态不匹配导致的性能衰减问题，结合商用车怠速功率零输出的应用要求，开展电堆温度、湿度、电位、启停频次多状态耦合下的衰减机理研究，明确其对膜电极水合状态、催化剂活性、碳载体腐蚀速率的作用规律，开发在线电化学诊断与电堆状态识别技术，厘清不同工况下电堆耐受边界，形成热待机与电位钳制协同管理、低衰减快速变载的自适应控制策略，最终实现揭示衰减机制、延长电堆寿命、支撑零怠速高效运行、提升变载响应性能的目标。</w:t>
      </w:r>
    </w:p>
    <w:p w14:paraId="79315E28">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bCs/>
          <w:sz w:val="32"/>
          <w:szCs w:val="32"/>
        </w:rPr>
        <w:t>考核指标：</w:t>
      </w:r>
      <w:r>
        <w:rPr>
          <w:rFonts w:hint="eastAsia" w:ascii="Times New Roman" w:hAnsi="Times New Roman" w:eastAsia="宋体" w:cs="Times New Roman"/>
          <w:bCs/>
          <w:sz w:val="32"/>
          <w:szCs w:val="32"/>
        </w:rPr>
        <w:t>明确稳定运行最高电压上限与时长；系统怠速净输出功率为0kW，单次零功率输出稳定时长≥10min，热待机切换过程需求时间≤3s；钳制电位工况下稳定运行时间≥2h，电堆可恢复性能衰减率≤5mV/h。</w:t>
      </w:r>
    </w:p>
    <w:p w14:paraId="52C407A8">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bCs/>
          <w:sz w:val="32"/>
          <w:szCs w:val="32"/>
        </w:rPr>
        <w:t>交付物：</w:t>
      </w:r>
      <w:r>
        <w:rPr>
          <w:rFonts w:hint="eastAsia" w:ascii="Times New Roman" w:hAnsi="Times New Roman" w:eastAsia="宋体" w:cs="Times New Roman"/>
          <w:bCs/>
          <w:sz w:val="32"/>
          <w:szCs w:val="32"/>
        </w:rPr>
        <w:t>燃料电池工况衰减机理与耐受边界研究报告1份、不同工况下电堆状态识别方法报告1份、电堆及系统高电位钳制、零怠速输出、低衰减快速变载策略及验证报告各1份、发明专利≥2项、学术论文≥2篇（EI及以上）</w:t>
      </w:r>
      <w:r>
        <w:rPr>
          <w:rFonts w:ascii="Times New Roman" w:hAnsi="Times New Roman" w:eastAsia="宋体" w:cs="Times New Roman"/>
          <w:bCs/>
          <w:sz w:val="32"/>
          <w:szCs w:val="32"/>
        </w:rPr>
        <w:t>。</w:t>
      </w:r>
    </w:p>
    <w:p w14:paraId="35DE1C3E">
      <w:pPr>
        <w:adjustRightInd w:val="0"/>
        <w:snapToGrid w:val="0"/>
        <w:spacing w:line="600" w:lineRule="exact"/>
        <w:ind w:firstLine="643" w:firstLineChars="200"/>
        <w:rPr>
          <w:rFonts w:hint="eastAsia" w:ascii="Times New Roman" w:hAnsi="Times New Roman" w:eastAsia="宋体" w:cs="Times New Roman"/>
          <w:bCs/>
          <w:sz w:val="32"/>
          <w:szCs w:val="32"/>
        </w:rPr>
      </w:pPr>
      <w:r>
        <w:rPr>
          <w:rFonts w:ascii="Times New Roman" w:hAnsi="Times New Roman" w:eastAsia="宋体" w:cs="Times New Roman"/>
          <w:b/>
          <w:sz w:val="32"/>
          <w:szCs w:val="32"/>
        </w:rPr>
        <w:t>联系方式：</w:t>
      </w:r>
      <w:r>
        <w:rPr>
          <w:rFonts w:hint="eastAsia" w:ascii="Times New Roman" w:hAnsi="Times New Roman" w:eastAsia="宋体" w:cs="Times New Roman"/>
          <w:bCs/>
          <w:sz w:val="32"/>
          <w:szCs w:val="32"/>
        </w:rPr>
        <w:t>刘老师</w:t>
      </w:r>
      <w:r>
        <w:rPr>
          <w:rFonts w:hint="eastAsia" w:cs="Times New Roman"/>
          <w:bCs/>
          <w:sz w:val="32"/>
          <w:szCs w:val="32"/>
          <w:lang w:eastAsia="zh-CN"/>
        </w:rPr>
        <w:t>，</w:t>
      </w:r>
      <w:r>
        <w:rPr>
          <w:rFonts w:hint="eastAsia" w:ascii="Times New Roman" w:hAnsi="Times New Roman" w:eastAsia="宋体" w:cs="Times New Roman"/>
          <w:bCs/>
          <w:sz w:val="32"/>
          <w:szCs w:val="32"/>
        </w:rPr>
        <w:t>15966182127</w:t>
      </w:r>
    </w:p>
    <w:p w14:paraId="2997377F">
      <w:pPr>
        <w:adjustRightInd w:val="0"/>
        <w:snapToGrid w:val="0"/>
        <w:spacing w:line="600" w:lineRule="exact"/>
        <w:ind w:firstLine="643" w:firstLineChars="200"/>
        <w:rPr>
          <w:rFonts w:ascii="Times New Roman" w:hAnsi="Times New Roman" w:eastAsia="宋体" w:cs="Times New Roman"/>
          <w:b/>
          <w:bCs/>
          <w:sz w:val="32"/>
          <w:szCs w:val="32"/>
        </w:rPr>
      </w:pPr>
      <w:r>
        <w:rPr>
          <w:rFonts w:ascii="Times New Roman" w:hAnsi="Times New Roman" w:eastAsia="宋体" w:cs="Times New Roman"/>
          <w:b/>
          <w:bCs/>
          <w:sz w:val="32"/>
          <w:szCs w:val="32"/>
        </w:rPr>
        <w:t>2.项</w:t>
      </w:r>
      <w:r>
        <w:rPr>
          <w:rFonts w:ascii="Times New Roman" w:hAnsi="Times New Roman" w:eastAsia="宋体" w:cs="Times New Roman"/>
          <w:b/>
          <w:sz w:val="32"/>
          <w:szCs w:val="32"/>
        </w:rPr>
        <w:t>目名称：</w:t>
      </w:r>
      <w:r>
        <w:rPr>
          <w:rFonts w:hint="eastAsia" w:ascii="Times New Roman" w:hAnsi="Times New Roman" w:eastAsia="宋体" w:cs="Times New Roman"/>
          <w:b/>
          <w:bCs/>
          <w:sz w:val="32"/>
          <w:szCs w:val="32"/>
        </w:rPr>
        <w:t>燃料电池发动机功能安全技术研究</w:t>
      </w:r>
    </w:p>
    <w:p w14:paraId="6D2AEB76">
      <w:pPr>
        <w:adjustRightInd w:val="0"/>
        <w:snapToGrid w:val="0"/>
        <w:spacing w:line="600" w:lineRule="exact"/>
        <w:ind w:firstLine="643" w:firstLineChars="200"/>
        <w:rPr>
          <w:rFonts w:hint="eastAsia" w:ascii="Times New Roman" w:hAnsi="Times New Roman" w:eastAsia="宋体" w:cs="Times New Roman"/>
          <w:b/>
          <w:sz w:val="32"/>
          <w:szCs w:val="32"/>
        </w:rPr>
      </w:pPr>
      <w:r>
        <w:rPr>
          <w:rFonts w:hint="eastAsia" w:ascii="Times New Roman" w:hAnsi="Times New Roman" w:eastAsia="宋体" w:cs="Times New Roman"/>
          <w:b/>
          <w:sz w:val="32"/>
          <w:szCs w:val="32"/>
        </w:rPr>
        <w:t>指南方向：</w:t>
      </w:r>
      <w:r>
        <w:rPr>
          <w:rFonts w:hint="eastAsia" w:ascii="Times New Roman" w:hAnsi="Times New Roman" w:eastAsia="宋体" w:cs="Times New Roman"/>
          <w:bCs/>
          <w:sz w:val="32"/>
          <w:szCs w:val="32"/>
        </w:rPr>
        <w:t>5.燃料电池系统技术研究</w:t>
      </w:r>
    </w:p>
    <w:p w14:paraId="38BA9FA0">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bCs/>
          <w:sz w:val="32"/>
          <w:szCs w:val="32"/>
        </w:rPr>
        <w:t>研究内容：</w:t>
      </w:r>
      <w:r>
        <w:rPr>
          <w:rFonts w:hint="eastAsia" w:ascii="Times New Roman" w:hAnsi="Times New Roman" w:eastAsia="宋体" w:cs="Times New Roman"/>
          <w:bCs/>
          <w:sz w:val="32"/>
          <w:szCs w:val="32"/>
        </w:rPr>
        <w:t>基于燃料电池发动机进行危害分析和安全风险评估，得到燃料电池发动机安全目标和安全设计要求；建立关键要素的精准动态模型，如氢气安全仿真、电气安全模型等；基于整机运行模型，实现故障注入安全模拟测试，完成各安全要素相关故障注入状态下的系统动态调节且满足安全要求；结合安全要素识别分析和模型模拟，得到某型号燃料电池系统功能安全设计优化方案</w:t>
      </w:r>
      <w:r>
        <w:rPr>
          <w:rFonts w:ascii="Times New Roman" w:hAnsi="Times New Roman" w:eastAsia="宋体" w:cs="Times New Roman"/>
          <w:bCs/>
          <w:sz w:val="32"/>
          <w:szCs w:val="32"/>
        </w:rPr>
        <w:t>。</w:t>
      </w:r>
    </w:p>
    <w:p w14:paraId="3415C893">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bCs/>
          <w:sz w:val="32"/>
          <w:szCs w:val="32"/>
        </w:rPr>
        <w:t>考核指标：</w:t>
      </w:r>
      <w:r>
        <w:rPr>
          <w:rFonts w:hint="eastAsia" w:ascii="Times New Roman" w:hAnsi="Times New Roman" w:eastAsia="宋体" w:cs="Times New Roman"/>
          <w:bCs/>
          <w:sz w:val="32"/>
          <w:szCs w:val="32"/>
        </w:rPr>
        <w:t>安全要素计算模型准确度＞90%、基于功能安全的模拟运算准确度＞90%、指导功能安全策略动态响应提升50%</w:t>
      </w:r>
      <w:r>
        <w:rPr>
          <w:rFonts w:ascii="Times New Roman" w:hAnsi="Times New Roman" w:eastAsia="宋体" w:cs="Times New Roman"/>
          <w:bCs/>
          <w:sz w:val="32"/>
          <w:szCs w:val="32"/>
        </w:rPr>
        <w:t>。</w:t>
      </w:r>
    </w:p>
    <w:p w14:paraId="0D4AFB82">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bCs/>
          <w:sz w:val="32"/>
          <w:szCs w:val="32"/>
        </w:rPr>
        <w:t>交付物：</w:t>
      </w:r>
      <w:r>
        <w:rPr>
          <w:rFonts w:hint="eastAsia" w:ascii="Times New Roman" w:hAnsi="Times New Roman" w:eastAsia="宋体" w:cs="Times New Roman"/>
          <w:bCs/>
          <w:sz w:val="32"/>
          <w:szCs w:val="32"/>
        </w:rPr>
        <w:t>系统功能安全需求分析报告≥2份</w:t>
      </w:r>
      <w:r>
        <w:rPr>
          <w:rFonts w:hint="eastAsia" w:cs="Times New Roman"/>
          <w:bCs/>
          <w:sz w:val="32"/>
          <w:szCs w:val="32"/>
          <w:lang w:eastAsia="zh-CN"/>
        </w:rPr>
        <w:t>，</w:t>
      </w:r>
      <w:r>
        <w:rPr>
          <w:rFonts w:hint="eastAsia" w:ascii="Times New Roman" w:hAnsi="Times New Roman" w:eastAsia="宋体" w:cs="Times New Roman"/>
          <w:bCs/>
          <w:sz w:val="32"/>
          <w:szCs w:val="32"/>
        </w:rPr>
        <w:t>氢气、电气、结构安全等要素计算模型≥3个</w:t>
      </w:r>
      <w:r>
        <w:rPr>
          <w:rFonts w:hint="eastAsia" w:cs="Times New Roman"/>
          <w:bCs/>
          <w:sz w:val="32"/>
          <w:szCs w:val="32"/>
          <w:lang w:eastAsia="zh-CN"/>
        </w:rPr>
        <w:t>，</w:t>
      </w:r>
      <w:r>
        <w:rPr>
          <w:rFonts w:hint="eastAsia" w:ascii="Times New Roman" w:hAnsi="Times New Roman" w:eastAsia="宋体" w:cs="Times New Roman"/>
          <w:bCs/>
          <w:sz w:val="32"/>
          <w:szCs w:val="32"/>
        </w:rPr>
        <w:t>优化方案/报告≥2份</w:t>
      </w:r>
      <w:r>
        <w:rPr>
          <w:rFonts w:hint="eastAsia" w:cs="Times New Roman"/>
          <w:bCs/>
          <w:sz w:val="32"/>
          <w:szCs w:val="32"/>
          <w:lang w:eastAsia="zh-CN"/>
        </w:rPr>
        <w:t>，</w:t>
      </w:r>
      <w:r>
        <w:rPr>
          <w:rFonts w:hint="eastAsia" w:ascii="Times New Roman" w:hAnsi="Times New Roman" w:eastAsia="宋体" w:cs="Times New Roman"/>
          <w:bCs/>
          <w:sz w:val="32"/>
          <w:szCs w:val="32"/>
        </w:rPr>
        <w:t>功能安全设计规范≥1份，发明专利≥2项，学术论文≥2篇（EI及以上）</w:t>
      </w:r>
      <w:r>
        <w:rPr>
          <w:rFonts w:ascii="Times New Roman" w:hAnsi="Times New Roman" w:eastAsia="宋体" w:cs="Times New Roman"/>
          <w:bCs/>
          <w:sz w:val="32"/>
          <w:szCs w:val="32"/>
        </w:rPr>
        <w:t>。</w:t>
      </w:r>
    </w:p>
    <w:p w14:paraId="01260193">
      <w:pPr>
        <w:adjustRightInd w:val="0"/>
        <w:snapToGrid w:val="0"/>
        <w:spacing w:line="600" w:lineRule="exact"/>
        <w:ind w:firstLine="643" w:firstLineChars="200"/>
        <w:rPr>
          <w:rFonts w:hint="eastAsia" w:ascii="Times New Roman" w:hAnsi="Times New Roman" w:eastAsia="宋体" w:cs="Times New Roman"/>
          <w:bCs/>
          <w:sz w:val="32"/>
          <w:szCs w:val="32"/>
        </w:rPr>
      </w:pPr>
      <w:r>
        <w:rPr>
          <w:rFonts w:ascii="Times New Roman" w:hAnsi="Times New Roman" w:eastAsia="宋体" w:cs="Times New Roman"/>
          <w:b/>
          <w:sz w:val="32"/>
          <w:szCs w:val="32"/>
        </w:rPr>
        <w:t>联系方式：</w:t>
      </w:r>
      <w:r>
        <w:rPr>
          <w:rFonts w:hint="eastAsia" w:cs="Times New Roman"/>
          <w:bCs/>
          <w:sz w:val="32"/>
          <w:szCs w:val="32"/>
          <w:lang w:eastAsia="zh-CN"/>
        </w:rPr>
        <w:t>高</w:t>
      </w:r>
      <w:r>
        <w:rPr>
          <w:rFonts w:ascii="Times New Roman" w:hAnsi="Times New Roman" w:eastAsia="宋体" w:cs="Times New Roman"/>
          <w:bCs/>
          <w:sz w:val="32"/>
          <w:szCs w:val="32"/>
        </w:rPr>
        <w:t>老师，</w:t>
      </w:r>
      <w:r>
        <w:rPr>
          <w:rFonts w:hint="eastAsia" w:ascii="Times New Roman" w:hAnsi="Times New Roman" w:eastAsia="宋体" w:cs="Times New Roman"/>
          <w:bCs/>
          <w:sz w:val="32"/>
          <w:szCs w:val="32"/>
        </w:rPr>
        <w:t>18804012498</w:t>
      </w:r>
    </w:p>
    <w:p w14:paraId="34292672">
      <w:pPr>
        <w:rPr>
          <w:rFonts w:hint="eastAsia" w:ascii="Times New Roman" w:hAnsi="Times New Roman" w:eastAsia="宋体" w:cs="Times New Roman"/>
          <w:bCs/>
          <w:sz w:val="32"/>
          <w:szCs w:val="32"/>
        </w:rPr>
      </w:pPr>
      <w:r>
        <w:rPr>
          <w:rFonts w:hint="eastAsia" w:ascii="Times New Roman" w:hAnsi="Times New Roman" w:eastAsia="宋体" w:cs="Times New Roman"/>
          <w:bCs/>
          <w:sz w:val="32"/>
          <w:szCs w:val="32"/>
        </w:rPr>
        <w:br w:type="page"/>
      </w:r>
    </w:p>
    <w:p w14:paraId="340F4E8A">
      <w:pPr>
        <w:adjustRightInd w:val="0"/>
        <w:snapToGrid w:val="0"/>
        <w:spacing w:line="600" w:lineRule="exact"/>
        <w:ind w:firstLine="643" w:firstLineChars="200"/>
        <w:rPr>
          <w:rFonts w:ascii="Times New Roman" w:hAnsi="Times New Roman" w:eastAsia="宋体" w:cs="Times New Roman"/>
          <w:b/>
          <w:bCs/>
          <w:sz w:val="32"/>
          <w:szCs w:val="32"/>
        </w:rPr>
      </w:pPr>
      <w:r>
        <w:rPr>
          <w:rFonts w:ascii="Times New Roman" w:hAnsi="Times New Roman" w:eastAsia="宋体" w:cs="Times New Roman"/>
          <w:b/>
          <w:bCs/>
          <w:sz w:val="32"/>
          <w:szCs w:val="32"/>
        </w:rPr>
        <w:t>3.项</w:t>
      </w:r>
      <w:r>
        <w:rPr>
          <w:rFonts w:ascii="Times New Roman" w:hAnsi="Times New Roman" w:eastAsia="宋体" w:cs="Times New Roman"/>
          <w:b/>
          <w:sz w:val="32"/>
          <w:szCs w:val="32"/>
        </w:rPr>
        <w:t>目名称：</w:t>
      </w:r>
      <w:r>
        <w:rPr>
          <w:rFonts w:hint="eastAsia" w:ascii="Times New Roman" w:hAnsi="Times New Roman" w:eastAsia="宋体" w:cs="Times New Roman"/>
          <w:b/>
          <w:bCs/>
          <w:sz w:val="32"/>
          <w:szCs w:val="32"/>
        </w:rPr>
        <w:t>融合人工智能的燃料电池发动机健康管理技术开发</w:t>
      </w:r>
    </w:p>
    <w:p w14:paraId="2CDD600E">
      <w:pPr>
        <w:adjustRightInd w:val="0"/>
        <w:snapToGrid w:val="0"/>
        <w:spacing w:line="600" w:lineRule="exact"/>
        <w:ind w:firstLine="643" w:firstLineChars="200"/>
        <w:rPr>
          <w:rFonts w:hint="eastAsia" w:ascii="Times New Roman" w:hAnsi="Times New Roman" w:eastAsia="宋体" w:cs="Times New Roman"/>
          <w:b/>
          <w:sz w:val="32"/>
          <w:szCs w:val="32"/>
        </w:rPr>
      </w:pPr>
      <w:r>
        <w:rPr>
          <w:rFonts w:hint="eastAsia" w:ascii="Times New Roman" w:hAnsi="Times New Roman" w:eastAsia="宋体" w:cs="Times New Roman"/>
          <w:b/>
          <w:sz w:val="32"/>
          <w:szCs w:val="32"/>
        </w:rPr>
        <w:t>指南方向：</w:t>
      </w:r>
      <w:r>
        <w:rPr>
          <w:rFonts w:hint="eastAsia" w:ascii="Times New Roman" w:hAnsi="Times New Roman" w:eastAsia="宋体" w:cs="Times New Roman"/>
          <w:bCs/>
          <w:sz w:val="32"/>
          <w:szCs w:val="32"/>
        </w:rPr>
        <w:t>5.燃料电池系统技术研究</w:t>
      </w:r>
    </w:p>
    <w:p w14:paraId="39D186E5">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bCs/>
          <w:sz w:val="32"/>
          <w:szCs w:val="32"/>
        </w:rPr>
        <w:t>研究内容：</w:t>
      </w:r>
      <w:r>
        <w:rPr>
          <w:rFonts w:hint="eastAsia" w:ascii="Times New Roman" w:hAnsi="Times New Roman" w:eastAsia="宋体" w:cs="Times New Roman"/>
          <w:bCs/>
          <w:sz w:val="32"/>
          <w:szCs w:val="32"/>
        </w:rPr>
        <w:t>开展燃料电池发动机健康状态SOH（State of Health）智能诊断与预测模型研究，构建云端深度算法分析、终端交互应用的协同架构，建立燃料电池健康管理功能体系。针对复杂车载工况下电堆衰减模式精准解析难题，研究电堆特征估计和状态监测技术，实时监测、诊断电堆健康状态，研究电堆老化模式、老化程度精准判别技术，实现故障关键组件、核心失效诱因自动识别和定位，开发针对性恢复策略执行功能。研究燃料电池关键部件状态识别与评估技术，实现核心部件状态实时监测、早期异常感知与剩余寿命预测，并基于状态感知识别开展运行参数动态优化，提升产品鲁棒性和使用寿命。研究燃料电池健康管理与人工智能技术融合应用技术研究，开发融合AI功能的燃料电池智能终端应用，实现健康状态智能化监测、维保提醒、状态预警等功能</w:t>
      </w:r>
      <w:r>
        <w:rPr>
          <w:rFonts w:ascii="Times New Roman" w:hAnsi="Times New Roman" w:eastAsia="宋体" w:cs="Times New Roman"/>
          <w:bCs/>
          <w:sz w:val="32"/>
          <w:szCs w:val="32"/>
        </w:rPr>
        <w:t>。</w:t>
      </w:r>
    </w:p>
    <w:p w14:paraId="57667E29">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bCs/>
          <w:sz w:val="32"/>
          <w:szCs w:val="32"/>
        </w:rPr>
        <w:t>考核指标：</w:t>
      </w:r>
      <w:r>
        <w:rPr>
          <w:rFonts w:hint="eastAsia" w:ascii="Times New Roman" w:hAnsi="Times New Roman" w:eastAsia="宋体" w:cs="Times New Roman"/>
          <w:bCs/>
          <w:sz w:val="32"/>
          <w:szCs w:val="32"/>
        </w:rPr>
        <w:t>模型计算响应时间≤15s，电堆老化溯源准确率≥90%，关键故障早期预警准确率≥90%</w:t>
      </w:r>
      <w:r>
        <w:rPr>
          <w:rFonts w:ascii="Times New Roman" w:hAnsi="Times New Roman" w:eastAsia="宋体" w:cs="Times New Roman"/>
          <w:bCs/>
          <w:sz w:val="32"/>
          <w:szCs w:val="32"/>
        </w:rPr>
        <w:t>。</w:t>
      </w:r>
    </w:p>
    <w:p w14:paraId="055E91E1">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bCs/>
          <w:sz w:val="32"/>
          <w:szCs w:val="32"/>
        </w:rPr>
        <w:t>交付物：</w:t>
      </w:r>
      <w:r>
        <w:rPr>
          <w:rFonts w:hint="eastAsia" w:ascii="Times New Roman" w:hAnsi="Times New Roman" w:eastAsia="宋体" w:cs="Times New Roman"/>
          <w:bCs/>
          <w:sz w:val="32"/>
          <w:szCs w:val="32"/>
        </w:rPr>
        <w:t>健康管理模型1个（在国创平台部署并实现车队级应用），燃料电池智能终端应用1个，模型和终端应用说明文档1份，老化溯源验证报告1份，异常预警验证报告1份，发明专利≥2项，学术论文≥2篇（EI及以上）</w:t>
      </w:r>
      <w:r>
        <w:rPr>
          <w:rFonts w:ascii="Times New Roman" w:hAnsi="Times New Roman" w:eastAsia="宋体" w:cs="Times New Roman"/>
          <w:bCs/>
          <w:sz w:val="32"/>
          <w:szCs w:val="32"/>
        </w:rPr>
        <w:t>。</w:t>
      </w:r>
    </w:p>
    <w:p w14:paraId="0B896895">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sz w:val="32"/>
          <w:szCs w:val="32"/>
        </w:rPr>
        <w:t>联系方式：</w:t>
      </w:r>
      <w:r>
        <w:rPr>
          <w:rFonts w:hint="eastAsia" w:cs="Times New Roman"/>
          <w:bCs/>
          <w:sz w:val="32"/>
          <w:szCs w:val="32"/>
          <w:lang w:eastAsia="zh-CN"/>
        </w:rPr>
        <w:t>史</w:t>
      </w:r>
      <w:r>
        <w:rPr>
          <w:rFonts w:ascii="Times New Roman" w:hAnsi="Times New Roman" w:eastAsia="宋体" w:cs="Times New Roman"/>
          <w:bCs/>
          <w:sz w:val="32"/>
          <w:szCs w:val="32"/>
        </w:rPr>
        <w:t>老师，</w:t>
      </w:r>
      <w:r>
        <w:rPr>
          <w:rFonts w:hint="eastAsia" w:ascii="Times New Roman" w:hAnsi="Times New Roman" w:eastAsia="宋体" w:cs="Times New Roman"/>
          <w:bCs/>
          <w:sz w:val="32"/>
          <w:szCs w:val="32"/>
        </w:rPr>
        <w:t>19954463475</w:t>
      </w:r>
    </w:p>
    <w:p w14:paraId="4FF558CA">
      <w:pPr>
        <w:rPr>
          <w:rFonts w:ascii="Times New Roman" w:hAnsi="Times New Roman" w:eastAsia="宋体" w:cs="Times New Roman"/>
          <w:b/>
          <w:bCs/>
          <w:sz w:val="32"/>
          <w:szCs w:val="32"/>
        </w:rPr>
      </w:pPr>
      <w:r>
        <w:rPr>
          <w:rFonts w:ascii="Times New Roman" w:hAnsi="Times New Roman" w:eastAsia="宋体" w:cs="Times New Roman"/>
          <w:b/>
          <w:bCs/>
          <w:sz w:val="32"/>
          <w:szCs w:val="32"/>
        </w:rPr>
        <w:br w:type="page"/>
      </w:r>
    </w:p>
    <w:p w14:paraId="6DAE8DEE">
      <w:pPr>
        <w:adjustRightInd w:val="0"/>
        <w:snapToGrid w:val="0"/>
        <w:spacing w:line="600" w:lineRule="exact"/>
        <w:ind w:firstLine="643" w:firstLineChars="200"/>
        <w:rPr>
          <w:rFonts w:ascii="Times New Roman" w:hAnsi="Times New Roman" w:eastAsia="宋体" w:cs="Times New Roman"/>
          <w:b/>
          <w:bCs/>
          <w:sz w:val="32"/>
          <w:szCs w:val="32"/>
        </w:rPr>
      </w:pPr>
      <w:r>
        <w:rPr>
          <w:rFonts w:ascii="Times New Roman" w:hAnsi="Times New Roman" w:eastAsia="宋体" w:cs="Times New Roman"/>
          <w:b/>
          <w:bCs/>
          <w:sz w:val="32"/>
          <w:szCs w:val="32"/>
        </w:rPr>
        <w:t>4.项</w:t>
      </w:r>
      <w:r>
        <w:rPr>
          <w:rFonts w:ascii="Times New Roman" w:hAnsi="Times New Roman" w:eastAsia="宋体" w:cs="Times New Roman"/>
          <w:b/>
          <w:sz w:val="32"/>
          <w:szCs w:val="32"/>
        </w:rPr>
        <w:t>目名称：</w:t>
      </w:r>
      <w:r>
        <w:rPr>
          <w:rFonts w:hint="eastAsia" w:ascii="Times New Roman" w:hAnsi="Times New Roman" w:eastAsia="宋体" w:cs="Times New Roman"/>
          <w:b/>
          <w:bCs/>
          <w:sz w:val="32"/>
          <w:szCs w:val="32"/>
        </w:rPr>
        <w:t>低Pt膜电极催化层设计及“三传一反”规律研究</w:t>
      </w:r>
    </w:p>
    <w:p w14:paraId="30859D30">
      <w:pPr>
        <w:adjustRightInd w:val="0"/>
        <w:snapToGrid w:val="0"/>
        <w:spacing w:line="600" w:lineRule="exact"/>
        <w:ind w:firstLine="643" w:firstLineChars="200"/>
        <w:rPr>
          <w:rFonts w:hint="eastAsia" w:ascii="Times New Roman" w:hAnsi="Times New Roman" w:eastAsia="宋体" w:cs="Times New Roman"/>
          <w:bCs/>
          <w:sz w:val="32"/>
          <w:szCs w:val="32"/>
        </w:rPr>
      </w:pPr>
      <w:r>
        <w:rPr>
          <w:rFonts w:hint="eastAsia" w:ascii="Times New Roman" w:hAnsi="Times New Roman" w:eastAsia="宋体" w:cs="Times New Roman"/>
          <w:b/>
          <w:sz w:val="32"/>
          <w:szCs w:val="32"/>
        </w:rPr>
        <w:t>指南方向：</w:t>
      </w:r>
      <w:r>
        <w:rPr>
          <w:rFonts w:hint="eastAsia" w:ascii="Times New Roman" w:hAnsi="Times New Roman" w:eastAsia="宋体" w:cs="Times New Roman"/>
          <w:bCs/>
          <w:sz w:val="32"/>
          <w:szCs w:val="32"/>
        </w:rPr>
        <w:t>2.膜电极技术研究</w:t>
      </w:r>
    </w:p>
    <w:p w14:paraId="454CB669">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bCs/>
          <w:sz w:val="32"/>
          <w:szCs w:val="32"/>
        </w:rPr>
        <w:t>研究内容：</w:t>
      </w:r>
      <w:r>
        <w:rPr>
          <w:rFonts w:hint="eastAsia" w:ascii="Times New Roman" w:hAnsi="Times New Roman" w:eastAsia="宋体" w:cs="Times New Roman"/>
          <w:bCs/>
          <w:sz w:val="32"/>
          <w:szCs w:val="32"/>
        </w:rPr>
        <w:t>以低Pt膜电极为对象，构建多尺度多物理场催化层模型，耦合传质、传热、动量传递与电化学反应。在指定温湿度、压力、计量比等工况下，仿真研究I/C比、催化层厚度、孔结构对膜电极性能的影响，量化活化、欧姆和浓差极化随工况的变化。通过实验数据标定模型，实现性能预测。进而针对不同催化剂类型及载量，预测其在指定工况下的性能与耐久边界，为催化层结构优化提供理论依据。</w:t>
      </w:r>
    </w:p>
    <w:p w14:paraId="5F6F974E">
      <w:pPr>
        <w:adjustRightInd w:val="0"/>
        <w:snapToGrid w:val="0"/>
        <w:spacing w:line="600" w:lineRule="exact"/>
        <w:ind w:firstLine="643" w:firstLineChars="200"/>
        <w:rPr>
          <w:rFonts w:hint="eastAsia" w:ascii="Times New Roman" w:hAnsi="Times New Roman" w:eastAsia="宋体" w:cs="Times New Roman"/>
          <w:bCs/>
          <w:sz w:val="32"/>
          <w:szCs w:val="32"/>
        </w:rPr>
      </w:pPr>
      <w:r>
        <w:rPr>
          <w:rFonts w:ascii="Times New Roman" w:hAnsi="Times New Roman" w:eastAsia="宋体" w:cs="Times New Roman"/>
          <w:b/>
          <w:bCs/>
          <w:sz w:val="32"/>
          <w:szCs w:val="32"/>
        </w:rPr>
        <w:t>考核指标：</w:t>
      </w:r>
      <w:r>
        <w:rPr>
          <w:rFonts w:hint="eastAsia" w:ascii="Times New Roman" w:hAnsi="Times New Roman" w:eastAsia="宋体" w:cs="Times New Roman"/>
          <w:bCs/>
          <w:sz w:val="32"/>
          <w:szCs w:val="32"/>
        </w:rPr>
        <w:t>建立低Pt膜电极催化层多物理场结构模型：以介孔碳、合金</w:t>
      </w:r>
      <w:r>
        <w:rPr>
          <w:rFonts w:hint="eastAsia" w:cs="Times New Roman"/>
          <w:bCs/>
          <w:sz w:val="32"/>
          <w:szCs w:val="32"/>
          <w:lang w:val="en-US" w:eastAsia="zh-CN"/>
        </w:rPr>
        <w:t>催化剂</w:t>
      </w:r>
      <w:r>
        <w:rPr>
          <w:rFonts w:hint="eastAsia" w:ascii="Times New Roman" w:hAnsi="Times New Roman" w:eastAsia="宋体" w:cs="Times New Roman"/>
          <w:bCs/>
          <w:sz w:val="32"/>
          <w:szCs w:val="32"/>
        </w:rPr>
        <w:t>为阴极，高耐久催化剂为阳极，实现模型对膜电极极化的参数化仿真</w:t>
      </w:r>
      <w:r>
        <w:rPr>
          <w:rFonts w:hint="eastAsia" w:cs="Times New Roman"/>
          <w:bCs/>
          <w:sz w:val="32"/>
          <w:szCs w:val="32"/>
          <w:lang w:eastAsia="zh-CN"/>
        </w:rPr>
        <w:t>，</w:t>
      </w:r>
      <w:r>
        <w:rPr>
          <w:rFonts w:hint="eastAsia" w:ascii="Times New Roman" w:hAnsi="Times New Roman" w:eastAsia="宋体" w:cs="Times New Roman"/>
          <w:bCs/>
          <w:sz w:val="32"/>
          <w:szCs w:val="32"/>
        </w:rPr>
        <w:t>仿真需覆盖I/C比、催化层厚度、孔分布等结构参数以及</w:t>
      </w:r>
      <w:r>
        <w:rPr>
          <w:rFonts w:hint="eastAsia" w:cs="Times New Roman"/>
          <w:bCs/>
          <w:sz w:val="32"/>
          <w:szCs w:val="32"/>
          <w:lang w:val="en-US" w:eastAsia="zh-CN"/>
        </w:rPr>
        <w:t>工况</w:t>
      </w:r>
      <w:r>
        <w:rPr>
          <w:rFonts w:hint="eastAsia" w:ascii="Times New Roman" w:hAnsi="Times New Roman" w:eastAsia="宋体" w:cs="Times New Roman"/>
          <w:bCs/>
          <w:sz w:val="32"/>
          <w:szCs w:val="32"/>
        </w:rPr>
        <w:t>条件的影响；在0.5~3.0 A/cm²电流密度区间内，仿真结果与实测数据偏差≤5%。</w:t>
      </w:r>
    </w:p>
    <w:p w14:paraId="39EC095E">
      <w:pPr>
        <w:adjustRightInd w:val="0"/>
        <w:snapToGrid w:val="0"/>
        <w:spacing w:line="600" w:lineRule="exact"/>
        <w:ind w:firstLine="640" w:firstLineChars="200"/>
        <w:rPr>
          <w:rFonts w:ascii="Times New Roman" w:hAnsi="Times New Roman" w:eastAsia="宋体" w:cs="Times New Roman"/>
          <w:bCs/>
          <w:sz w:val="32"/>
          <w:szCs w:val="32"/>
        </w:rPr>
      </w:pPr>
      <w:r>
        <w:rPr>
          <w:rFonts w:hint="eastAsia" w:ascii="Times New Roman" w:hAnsi="Times New Roman" w:eastAsia="宋体" w:cs="Times New Roman"/>
          <w:bCs/>
          <w:sz w:val="32"/>
          <w:szCs w:val="32"/>
        </w:rPr>
        <w:t xml:space="preserve">针对合金、介孔碳催化剂，阴极Pt载量0.15~0.3 </w:t>
      </w:r>
      <w:r>
        <w:rPr>
          <w:rFonts w:hint="eastAsia" w:ascii="Times New Roman" w:hAnsi="Times New Roman" w:eastAsia="宋体" w:cs="Times New Roman"/>
          <w:bCs/>
          <w:spacing w:val="-20"/>
          <w:sz w:val="32"/>
          <w:szCs w:val="32"/>
        </w:rPr>
        <w:t>mg/cm²</w:t>
      </w:r>
      <w:r>
        <w:rPr>
          <w:rFonts w:hint="eastAsia" w:ascii="Times New Roman" w:hAnsi="Times New Roman" w:eastAsia="宋体" w:cs="Times New Roman"/>
          <w:bCs/>
          <w:sz w:val="32"/>
          <w:szCs w:val="32"/>
        </w:rPr>
        <w:t>、阳极Pt载量0.03~0.05 mg/cm²范围内，预测膜电极在</w:t>
      </w:r>
      <w:bookmarkStart w:id="1" w:name="_GoBack"/>
      <w:bookmarkEnd w:id="1"/>
      <w:r>
        <w:rPr>
          <w:rFonts w:hint="eastAsia" w:ascii="Times New Roman" w:hAnsi="Times New Roman" w:eastAsia="宋体" w:cs="Times New Roman"/>
          <w:bCs/>
          <w:sz w:val="32"/>
          <w:szCs w:val="32"/>
        </w:rPr>
        <w:t>不同工况下的性能及耐久</w:t>
      </w:r>
      <w:r>
        <w:rPr>
          <w:rFonts w:hint="eastAsia" w:cs="Times New Roman"/>
          <w:bCs/>
          <w:sz w:val="32"/>
          <w:szCs w:val="32"/>
          <w:lang w:val="en-US" w:eastAsia="zh-CN"/>
        </w:rPr>
        <w:t>变化</w:t>
      </w:r>
      <w:r>
        <w:rPr>
          <w:rFonts w:hint="eastAsia" w:ascii="Times New Roman" w:hAnsi="Times New Roman" w:eastAsia="宋体" w:cs="Times New Roman"/>
          <w:bCs/>
          <w:sz w:val="32"/>
          <w:szCs w:val="32"/>
        </w:rPr>
        <w:t>规律，上述低Pt膜电极的性能边界与耐久性边界预测偏差≤5%</w:t>
      </w:r>
      <w:r>
        <w:rPr>
          <w:rFonts w:ascii="Times New Roman" w:hAnsi="Times New Roman" w:eastAsia="宋体" w:cs="Times New Roman"/>
          <w:bCs/>
          <w:sz w:val="32"/>
          <w:szCs w:val="32"/>
        </w:rPr>
        <w:t>。</w:t>
      </w:r>
    </w:p>
    <w:p w14:paraId="25CFCBB2">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bCs/>
          <w:sz w:val="32"/>
          <w:szCs w:val="32"/>
        </w:rPr>
        <w:t>交付物：</w:t>
      </w:r>
      <w:r>
        <w:rPr>
          <w:rFonts w:hint="eastAsia" w:ascii="Times New Roman" w:hAnsi="Times New Roman" w:eastAsia="宋体" w:cs="Times New Roman"/>
          <w:bCs/>
          <w:sz w:val="32"/>
          <w:szCs w:val="32"/>
        </w:rPr>
        <w:t>低Pt膜电极结构建模报告及性能预测模型报告</w:t>
      </w:r>
      <w:r>
        <w:rPr>
          <w:rFonts w:hint="eastAsia" w:cs="Times New Roman"/>
          <w:bCs/>
          <w:sz w:val="32"/>
          <w:szCs w:val="32"/>
          <w:lang w:val="en-US" w:eastAsia="zh-CN"/>
        </w:rPr>
        <w:t>2</w:t>
      </w:r>
      <w:r>
        <w:rPr>
          <w:rFonts w:hint="eastAsia" w:ascii="Times New Roman" w:hAnsi="Times New Roman" w:eastAsia="宋体" w:cs="Times New Roman"/>
          <w:bCs/>
          <w:sz w:val="32"/>
          <w:szCs w:val="32"/>
        </w:rPr>
        <w:t>份，低Pt膜电极结构设计报告1份，发明专利≥2项，学术论文≥2篇（SCI及以上）</w:t>
      </w:r>
      <w:r>
        <w:rPr>
          <w:rFonts w:ascii="Times New Roman" w:hAnsi="Times New Roman" w:eastAsia="宋体" w:cs="Times New Roman"/>
          <w:bCs/>
          <w:sz w:val="32"/>
          <w:szCs w:val="32"/>
        </w:rPr>
        <w:t>。</w:t>
      </w:r>
    </w:p>
    <w:p w14:paraId="7F241205">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sz w:val="32"/>
          <w:szCs w:val="32"/>
        </w:rPr>
        <w:t>联系方式：</w:t>
      </w:r>
      <w:r>
        <w:rPr>
          <w:rFonts w:hint="eastAsia" w:cs="Times New Roman"/>
          <w:bCs/>
          <w:sz w:val="32"/>
          <w:szCs w:val="32"/>
          <w:lang w:eastAsia="zh-CN"/>
        </w:rPr>
        <w:t>李</w:t>
      </w:r>
      <w:r>
        <w:rPr>
          <w:rFonts w:ascii="Times New Roman" w:hAnsi="Times New Roman" w:eastAsia="宋体" w:cs="Times New Roman"/>
          <w:bCs/>
          <w:sz w:val="32"/>
          <w:szCs w:val="32"/>
        </w:rPr>
        <w:t>老师，</w:t>
      </w:r>
      <w:r>
        <w:rPr>
          <w:rFonts w:hint="eastAsia" w:ascii="Times New Roman" w:hAnsi="Times New Roman" w:eastAsia="宋体" w:cs="Times New Roman"/>
          <w:bCs/>
          <w:sz w:val="32"/>
          <w:szCs w:val="32"/>
        </w:rPr>
        <w:t>17669602621</w:t>
      </w:r>
    </w:p>
    <w:p w14:paraId="7F746B6A">
      <w:pPr>
        <w:rPr>
          <w:rFonts w:ascii="Times New Roman" w:hAnsi="Times New Roman" w:eastAsia="宋体" w:cs="Times New Roman"/>
          <w:b/>
          <w:bCs/>
          <w:sz w:val="32"/>
          <w:szCs w:val="32"/>
        </w:rPr>
      </w:pPr>
      <w:r>
        <w:rPr>
          <w:rFonts w:ascii="Times New Roman" w:hAnsi="Times New Roman" w:eastAsia="宋体" w:cs="Times New Roman"/>
          <w:b/>
          <w:bCs/>
          <w:sz w:val="32"/>
          <w:szCs w:val="32"/>
        </w:rPr>
        <w:br w:type="page"/>
      </w:r>
    </w:p>
    <w:p w14:paraId="12C65FBF">
      <w:pPr>
        <w:adjustRightInd w:val="0"/>
        <w:snapToGrid w:val="0"/>
        <w:spacing w:line="600" w:lineRule="exact"/>
        <w:ind w:firstLine="643" w:firstLineChars="200"/>
        <w:rPr>
          <w:rFonts w:hint="eastAsia" w:ascii="Times New Roman" w:hAnsi="Times New Roman" w:eastAsia="宋体" w:cs="Times New Roman"/>
          <w:b/>
          <w:bCs/>
          <w:sz w:val="32"/>
          <w:szCs w:val="32"/>
        </w:rPr>
      </w:pPr>
      <w:r>
        <w:rPr>
          <w:rFonts w:ascii="Times New Roman" w:hAnsi="Times New Roman" w:eastAsia="宋体" w:cs="Times New Roman"/>
          <w:b/>
          <w:bCs/>
          <w:sz w:val="32"/>
          <w:szCs w:val="32"/>
        </w:rPr>
        <w:t>5.项</w:t>
      </w:r>
      <w:r>
        <w:rPr>
          <w:rFonts w:ascii="Times New Roman" w:hAnsi="Times New Roman" w:eastAsia="宋体" w:cs="Times New Roman"/>
          <w:b/>
          <w:sz w:val="32"/>
          <w:szCs w:val="32"/>
        </w:rPr>
        <w:t>目名称：</w:t>
      </w:r>
      <w:r>
        <w:rPr>
          <w:rFonts w:hint="eastAsia" w:ascii="Times New Roman" w:hAnsi="Times New Roman" w:eastAsia="宋体" w:cs="Times New Roman"/>
          <w:b/>
          <w:bCs/>
          <w:sz w:val="32"/>
          <w:szCs w:val="32"/>
        </w:rPr>
        <w:t>PEM电解槽性能衰减机制及氢电安全策略研究</w:t>
      </w:r>
    </w:p>
    <w:p w14:paraId="28C3F1F7">
      <w:pPr>
        <w:adjustRightInd w:val="0"/>
        <w:snapToGrid w:val="0"/>
        <w:spacing w:line="600" w:lineRule="exact"/>
        <w:ind w:firstLine="643" w:firstLineChars="200"/>
        <w:rPr>
          <w:rFonts w:hint="eastAsia" w:ascii="Times New Roman" w:hAnsi="Times New Roman" w:eastAsia="宋体" w:cs="Times New Roman"/>
          <w:bCs/>
          <w:sz w:val="32"/>
          <w:szCs w:val="32"/>
        </w:rPr>
      </w:pPr>
      <w:r>
        <w:rPr>
          <w:rFonts w:hint="eastAsia" w:ascii="Times New Roman" w:hAnsi="Times New Roman" w:eastAsia="宋体" w:cs="Times New Roman"/>
          <w:b/>
          <w:sz w:val="32"/>
          <w:szCs w:val="32"/>
        </w:rPr>
        <w:t>指南方向：</w:t>
      </w:r>
      <w:r>
        <w:rPr>
          <w:rFonts w:hint="eastAsia" w:ascii="Times New Roman" w:hAnsi="Times New Roman" w:eastAsia="宋体" w:cs="Times New Roman"/>
          <w:bCs/>
          <w:sz w:val="32"/>
          <w:szCs w:val="32"/>
        </w:rPr>
        <w:t>6.电解水制氢技术研究</w:t>
      </w:r>
    </w:p>
    <w:p w14:paraId="73021225">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bCs/>
          <w:sz w:val="32"/>
          <w:szCs w:val="32"/>
        </w:rPr>
        <w:t>研究内容：</w:t>
      </w:r>
      <w:r>
        <w:rPr>
          <w:rFonts w:hint="eastAsia" w:ascii="Times New Roman" w:hAnsi="Times New Roman" w:eastAsia="宋体" w:cs="Times New Roman"/>
          <w:bCs/>
          <w:sz w:val="32"/>
          <w:szCs w:val="32"/>
        </w:rPr>
        <w:t>面向电解槽长寿命需求并降低活化阶段造成的不可逆性能衰减，研发电解槽快速活化方法；针对电解槽性能衰减问题，研究性能衰减影响因素及机制，形成电解槽性能恢复方案；研究性能衰减诱因可能引发的氢电安全问题及安全监测和解决策略，提升电解槽耐久性及应用安全性；针对不同性能衰减诱因研发系统应用层安全控制策略，保障电解槽长周期安全运行</w:t>
      </w:r>
      <w:r>
        <w:rPr>
          <w:rFonts w:ascii="Times New Roman" w:hAnsi="Times New Roman" w:eastAsia="宋体" w:cs="Times New Roman"/>
          <w:bCs/>
          <w:sz w:val="32"/>
          <w:szCs w:val="32"/>
        </w:rPr>
        <w:t>。</w:t>
      </w:r>
    </w:p>
    <w:p w14:paraId="09BAF8BB">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bCs/>
          <w:sz w:val="32"/>
          <w:szCs w:val="32"/>
        </w:rPr>
        <w:t>考核指标：</w:t>
      </w:r>
      <w:r>
        <w:rPr>
          <w:rFonts w:hint="eastAsia" w:ascii="Times New Roman" w:hAnsi="Times New Roman" w:eastAsia="宋体" w:cs="Times New Roman"/>
          <w:bCs/>
          <w:sz w:val="32"/>
          <w:szCs w:val="32"/>
        </w:rPr>
        <w:t>活化方案电解槽衰减速率≤10μV/h，活化时间≤12h，衰减机制分析维度≥3（包括但不限于电气、结构、热学和电化学）</w:t>
      </w:r>
      <w:r>
        <w:rPr>
          <w:rFonts w:ascii="Times New Roman" w:hAnsi="Times New Roman" w:eastAsia="宋体" w:cs="Times New Roman"/>
          <w:bCs/>
          <w:sz w:val="32"/>
          <w:szCs w:val="32"/>
        </w:rPr>
        <w:t>。</w:t>
      </w:r>
    </w:p>
    <w:p w14:paraId="05E6A121">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bCs/>
          <w:sz w:val="32"/>
          <w:szCs w:val="32"/>
        </w:rPr>
        <w:t>交付物：</w:t>
      </w:r>
      <w:r>
        <w:rPr>
          <w:rFonts w:hint="eastAsia" w:ascii="Times New Roman" w:hAnsi="Times New Roman" w:eastAsia="宋体" w:cs="Times New Roman"/>
          <w:bCs/>
          <w:sz w:val="32"/>
          <w:szCs w:val="32"/>
        </w:rPr>
        <w:t>PEM电解槽快速活化方案1份（方案需通过实测验证并出具验证报告），PEM电解槽性能衰减机制研究报告1份，PEM电解槽性能恢复方法研究报告1份（恢复方法应用效果需通过实测验证），PEM电解槽氢电安全诱发因素及安全监测研究报告1份，PEM电解槽系统匹配应用控制策略研究报告1份（从系统应用层面形成电解槽外围安全应用方案），学术论文≥2篇（EI及以上）。</w:t>
      </w:r>
    </w:p>
    <w:p w14:paraId="75FB0309">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sz w:val="32"/>
          <w:szCs w:val="32"/>
        </w:rPr>
        <w:t>联系方式：</w:t>
      </w:r>
      <w:r>
        <w:rPr>
          <w:rFonts w:hint="eastAsia" w:cs="Times New Roman"/>
          <w:bCs/>
          <w:sz w:val="32"/>
          <w:szCs w:val="32"/>
          <w:lang w:eastAsia="zh-CN"/>
        </w:rPr>
        <w:t>赵</w:t>
      </w:r>
      <w:r>
        <w:rPr>
          <w:rFonts w:ascii="Times New Roman" w:hAnsi="Times New Roman" w:eastAsia="宋体" w:cs="Times New Roman"/>
          <w:bCs/>
          <w:sz w:val="32"/>
          <w:szCs w:val="32"/>
        </w:rPr>
        <w:t>老师，</w:t>
      </w:r>
      <w:r>
        <w:rPr>
          <w:rFonts w:hint="eastAsia" w:ascii="Times New Roman" w:hAnsi="Times New Roman" w:eastAsia="宋体" w:cs="Times New Roman"/>
          <w:bCs/>
          <w:sz w:val="32"/>
          <w:szCs w:val="32"/>
        </w:rPr>
        <w:t>13210753277</w:t>
      </w:r>
    </w:p>
    <w:p w14:paraId="3E20B576">
      <w:pPr>
        <w:rPr>
          <w:rFonts w:ascii="Times New Roman" w:hAnsi="Times New Roman" w:eastAsia="宋体" w:cs="Times New Roman"/>
          <w:b/>
          <w:bCs/>
          <w:sz w:val="32"/>
          <w:szCs w:val="32"/>
        </w:rPr>
      </w:pPr>
      <w:r>
        <w:rPr>
          <w:rFonts w:ascii="Times New Roman" w:hAnsi="Times New Roman" w:eastAsia="宋体" w:cs="Times New Roman"/>
          <w:b/>
          <w:bCs/>
          <w:sz w:val="32"/>
          <w:szCs w:val="32"/>
        </w:rPr>
        <w:br w:type="page"/>
      </w:r>
    </w:p>
    <w:p w14:paraId="2653A992">
      <w:pPr>
        <w:adjustRightInd w:val="0"/>
        <w:snapToGrid w:val="0"/>
        <w:spacing w:line="600" w:lineRule="exact"/>
        <w:ind w:firstLine="643" w:firstLineChars="200"/>
        <w:rPr>
          <w:rFonts w:ascii="Times New Roman" w:hAnsi="Times New Roman" w:eastAsia="宋体" w:cs="Times New Roman"/>
          <w:b/>
          <w:bCs/>
          <w:sz w:val="32"/>
          <w:szCs w:val="32"/>
        </w:rPr>
      </w:pPr>
      <w:r>
        <w:rPr>
          <w:rFonts w:ascii="Times New Roman" w:hAnsi="Times New Roman" w:eastAsia="宋体" w:cs="Times New Roman"/>
          <w:b/>
          <w:bCs/>
          <w:sz w:val="32"/>
          <w:szCs w:val="32"/>
        </w:rPr>
        <w:t>6.项</w:t>
      </w:r>
      <w:r>
        <w:rPr>
          <w:rFonts w:ascii="Times New Roman" w:hAnsi="Times New Roman" w:eastAsia="宋体" w:cs="Times New Roman"/>
          <w:b/>
          <w:sz w:val="32"/>
          <w:szCs w:val="32"/>
        </w:rPr>
        <w:t>目名称：</w:t>
      </w:r>
      <w:r>
        <w:rPr>
          <w:rFonts w:hint="eastAsia" w:ascii="Times New Roman" w:hAnsi="Times New Roman" w:eastAsia="宋体" w:cs="Times New Roman"/>
          <w:b/>
          <w:bCs/>
          <w:sz w:val="32"/>
          <w:szCs w:val="32"/>
        </w:rPr>
        <w:t>柔性石墨极板成型尺寸演变规律及精度控制研究</w:t>
      </w:r>
    </w:p>
    <w:p w14:paraId="1FD55AAB">
      <w:pPr>
        <w:adjustRightInd w:val="0"/>
        <w:snapToGrid w:val="0"/>
        <w:spacing w:line="600" w:lineRule="exact"/>
        <w:ind w:firstLine="643" w:firstLineChars="200"/>
        <w:rPr>
          <w:rFonts w:hint="eastAsia" w:ascii="Times New Roman" w:hAnsi="Times New Roman" w:eastAsia="宋体" w:cs="Times New Roman"/>
          <w:bCs/>
          <w:sz w:val="32"/>
          <w:szCs w:val="32"/>
        </w:rPr>
      </w:pPr>
      <w:r>
        <w:rPr>
          <w:rFonts w:hint="eastAsia" w:ascii="Times New Roman" w:hAnsi="Times New Roman" w:eastAsia="宋体" w:cs="Times New Roman"/>
          <w:b/>
          <w:sz w:val="32"/>
          <w:szCs w:val="32"/>
        </w:rPr>
        <w:t>指南方向：</w:t>
      </w:r>
      <w:r>
        <w:rPr>
          <w:rFonts w:hint="eastAsia" w:ascii="Times New Roman" w:hAnsi="Times New Roman" w:eastAsia="宋体" w:cs="Times New Roman"/>
          <w:bCs/>
          <w:sz w:val="32"/>
          <w:szCs w:val="32"/>
        </w:rPr>
        <w:t>3.双极板技术研究</w:t>
      </w:r>
    </w:p>
    <w:p w14:paraId="537045FA">
      <w:pPr>
        <w:adjustRightInd w:val="0"/>
        <w:snapToGrid w:val="0"/>
        <w:spacing w:line="600" w:lineRule="exact"/>
        <w:ind w:firstLine="643" w:firstLineChars="200"/>
        <w:rPr>
          <w:rFonts w:ascii="Times New Roman" w:hAnsi="Times New Roman" w:eastAsia="宋体" w:cs="Times New Roman"/>
          <w:bCs/>
          <w:sz w:val="32"/>
          <w:szCs w:val="32"/>
          <w:highlight w:val="yellow"/>
        </w:rPr>
      </w:pPr>
      <w:r>
        <w:rPr>
          <w:rFonts w:ascii="Times New Roman" w:hAnsi="Times New Roman" w:eastAsia="宋体" w:cs="Times New Roman"/>
          <w:b/>
          <w:bCs/>
          <w:sz w:val="32"/>
          <w:szCs w:val="32"/>
        </w:rPr>
        <w:t>研究内容：</w:t>
      </w:r>
      <w:r>
        <w:rPr>
          <w:rFonts w:hint="eastAsia" w:ascii="Times New Roman" w:hAnsi="Times New Roman" w:eastAsia="宋体" w:cs="Times New Roman"/>
          <w:bCs/>
          <w:sz w:val="32"/>
          <w:szCs w:val="32"/>
        </w:rPr>
        <w:t>研究</w:t>
      </w:r>
      <w:r>
        <w:rPr>
          <w:rFonts w:hint="eastAsia" w:cs="Times New Roman"/>
          <w:bCs/>
          <w:sz w:val="32"/>
          <w:szCs w:val="32"/>
          <w:lang w:eastAsia="zh-CN"/>
        </w:rPr>
        <w:t>石墨极板</w:t>
      </w:r>
      <w:r>
        <w:rPr>
          <w:rFonts w:hint="eastAsia" w:ascii="Times New Roman" w:hAnsi="Times New Roman" w:eastAsia="宋体" w:cs="Times New Roman"/>
          <w:bCs/>
          <w:sz w:val="32"/>
          <w:szCs w:val="32"/>
        </w:rPr>
        <w:t>回弹的物理</w:t>
      </w:r>
      <w:r>
        <w:rPr>
          <w:rFonts w:hint="eastAsia" w:cs="Times New Roman"/>
          <w:bCs/>
          <w:sz w:val="32"/>
          <w:szCs w:val="32"/>
          <w:lang w:eastAsia="zh-CN"/>
        </w:rPr>
        <w:t>特性</w:t>
      </w:r>
      <w:r>
        <w:rPr>
          <w:rFonts w:hint="eastAsia" w:ascii="Times New Roman" w:hAnsi="Times New Roman" w:eastAsia="宋体" w:cs="Times New Roman"/>
          <w:bCs/>
          <w:sz w:val="32"/>
          <w:szCs w:val="32"/>
        </w:rPr>
        <w:t>，识别主导因素，建立回弹率与模压参数的回归模型；通过</w:t>
      </w:r>
      <w:r>
        <w:rPr>
          <w:rFonts w:hint="eastAsia" w:cs="Times New Roman"/>
          <w:bCs/>
          <w:sz w:val="32"/>
          <w:szCs w:val="32"/>
          <w:lang w:eastAsia="zh-CN"/>
        </w:rPr>
        <w:t>对</w:t>
      </w:r>
      <w:r>
        <w:rPr>
          <w:rFonts w:hint="eastAsia" w:ascii="Times New Roman" w:hAnsi="Times New Roman" w:eastAsia="宋体" w:cs="Times New Roman"/>
          <w:bCs/>
          <w:sz w:val="32"/>
          <w:szCs w:val="32"/>
        </w:rPr>
        <w:t>孔隙结构分析，量化浸渗剂分布对局部应力影响，结合热力学分析，探讨孔隙率与最终固化尺寸变化量的定量关系；识别模压与浸渗参数的交互作用对尺寸稳定性的影响，根据回弹与收缩规律，提出模压模具尺寸预补偿或工艺参数优化方案</w:t>
      </w:r>
      <w:r>
        <w:rPr>
          <w:rFonts w:ascii="Times New Roman" w:hAnsi="Times New Roman" w:eastAsia="宋体" w:cs="Times New Roman"/>
          <w:bCs/>
          <w:sz w:val="32"/>
          <w:szCs w:val="32"/>
        </w:rPr>
        <w:t>。</w:t>
      </w:r>
    </w:p>
    <w:p w14:paraId="242347B8">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bCs/>
          <w:sz w:val="32"/>
          <w:szCs w:val="32"/>
        </w:rPr>
        <w:t>考核指标：</w:t>
      </w:r>
      <w:r>
        <w:rPr>
          <w:rFonts w:hint="eastAsia" w:ascii="Times New Roman" w:hAnsi="Times New Roman" w:eastAsia="宋体" w:cs="Times New Roman"/>
          <w:bCs/>
          <w:sz w:val="32"/>
          <w:szCs w:val="32"/>
        </w:rPr>
        <w:t>建立模压-浸渗全流程尺寸预测模型，可指导工艺设计；全流程尺寸预测模型误差≤15%；形成一套可指导生产的模具及工艺参数优化方案</w:t>
      </w:r>
      <w:r>
        <w:rPr>
          <w:rFonts w:ascii="Times New Roman" w:hAnsi="Times New Roman" w:eastAsia="宋体" w:cs="Times New Roman"/>
          <w:bCs/>
          <w:sz w:val="32"/>
          <w:szCs w:val="32"/>
        </w:rPr>
        <w:t>。</w:t>
      </w:r>
    </w:p>
    <w:p w14:paraId="2107B05B">
      <w:pPr>
        <w:adjustRightInd w:val="0"/>
        <w:snapToGrid w:val="0"/>
        <w:spacing w:line="600" w:lineRule="exact"/>
        <w:ind w:firstLine="643" w:firstLineChars="200"/>
        <w:rPr>
          <w:rFonts w:ascii="Times New Roman" w:hAnsi="Times New Roman" w:eastAsia="宋体" w:cs="Times New Roman"/>
          <w:bCs/>
          <w:sz w:val="32"/>
          <w:szCs w:val="32"/>
        </w:rPr>
      </w:pPr>
      <w:r>
        <w:rPr>
          <w:rFonts w:ascii="Times New Roman" w:hAnsi="Times New Roman" w:eastAsia="宋体" w:cs="Times New Roman"/>
          <w:b/>
          <w:bCs/>
          <w:sz w:val="32"/>
          <w:szCs w:val="32"/>
        </w:rPr>
        <w:t>交付物：</w:t>
      </w:r>
      <w:r>
        <w:rPr>
          <w:rFonts w:hint="eastAsia" w:cs="Times New Roman"/>
          <w:b w:val="0"/>
          <w:bCs w:val="0"/>
          <w:sz w:val="32"/>
          <w:szCs w:val="32"/>
          <w:lang w:eastAsia="zh-CN"/>
        </w:rPr>
        <w:t>极板</w:t>
      </w:r>
      <w:r>
        <w:rPr>
          <w:rFonts w:hint="eastAsia" w:ascii="Times New Roman" w:hAnsi="Times New Roman" w:eastAsia="宋体" w:cs="Times New Roman"/>
          <w:bCs/>
          <w:sz w:val="32"/>
          <w:szCs w:val="32"/>
        </w:rPr>
        <w:t>回弹率与模压参数的回归模型</w:t>
      </w:r>
      <w:r>
        <w:rPr>
          <w:rFonts w:hint="eastAsia" w:cs="Times New Roman"/>
          <w:bCs/>
          <w:sz w:val="32"/>
          <w:szCs w:val="32"/>
          <w:lang w:val="en-US" w:eastAsia="zh-CN"/>
        </w:rPr>
        <w:t>1个，</w:t>
      </w:r>
      <w:r>
        <w:rPr>
          <w:rFonts w:hint="eastAsia" w:ascii="Times New Roman" w:hAnsi="Times New Roman" w:eastAsia="宋体" w:cs="Times New Roman"/>
          <w:bCs/>
          <w:sz w:val="32"/>
          <w:szCs w:val="32"/>
        </w:rPr>
        <w:t>浸渗剂分布对局部应力的影响</w:t>
      </w:r>
      <w:r>
        <w:rPr>
          <w:rFonts w:hint="eastAsia" w:cs="Times New Roman"/>
          <w:bCs/>
          <w:sz w:val="32"/>
          <w:szCs w:val="32"/>
          <w:lang w:eastAsia="zh-CN"/>
        </w:rPr>
        <w:t>报告</w:t>
      </w:r>
      <w:r>
        <w:rPr>
          <w:rFonts w:hint="eastAsia" w:cs="Times New Roman"/>
          <w:bCs/>
          <w:sz w:val="32"/>
          <w:szCs w:val="32"/>
          <w:lang w:val="en-US" w:eastAsia="zh-CN"/>
        </w:rPr>
        <w:t>1份，极板尺寸与孔隙率对应关系报告1份，工艺优化总结1份，</w:t>
      </w:r>
      <w:r>
        <w:rPr>
          <w:rFonts w:hint="eastAsia" w:ascii="Times New Roman" w:hAnsi="Times New Roman" w:eastAsia="宋体" w:cs="Times New Roman"/>
          <w:bCs/>
          <w:sz w:val="32"/>
          <w:szCs w:val="32"/>
        </w:rPr>
        <w:t>发明专利≥2项，</w:t>
      </w:r>
      <w:r>
        <w:rPr>
          <w:rFonts w:ascii="Times New Roman" w:hAnsi="Times New Roman" w:eastAsia="宋体" w:cs="Times New Roman"/>
          <w:bCs/>
          <w:sz w:val="32"/>
          <w:szCs w:val="32"/>
        </w:rPr>
        <w:t>学术论文≥2篇（EI及以上）。</w:t>
      </w:r>
    </w:p>
    <w:p w14:paraId="1DF4928F">
      <w:pPr>
        <w:adjustRightInd w:val="0"/>
        <w:snapToGrid w:val="0"/>
        <w:spacing w:line="600" w:lineRule="exact"/>
        <w:ind w:firstLine="643" w:firstLineChars="200"/>
        <w:rPr>
          <w:rFonts w:eastAsia="仿宋_GB2312"/>
          <w:b/>
          <w:sz w:val="24"/>
          <w:szCs w:val="24"/>
        </w:rPr>
      </w:pPr>
      <w:r>
        <w:rPr>
          <w:rFonts w:ascii="Times New Roman" w:hAnsi="Times New Roman" w:eastAsia="宋体" w:cs="Times New Roman"/>
          <w:b/>
          <w:sz w:val="32"/>
          <w:szCs w:val="32"/>
        </w:rPr>
        <w:t>联系方式：</w:t>
      </w:r>
      <w:r>
        <w:rPr>
          <w:rFonts w:hint="eastAsia" w:cs="Times New Roman"/>
          <w:b w:val="0"/>
          <w:bCs/>
          <w:sz w:val="32"/>
          <w:szCs w:val="32"/>
          <w:lang w:eastAsia="zh-CN"/>
        </w:rPr>
        <w:t>姬</w:t>
      </w:r>
      <w:r>
        <w:rPr>
          <w:rFonts w:ascii="Times New Roman" w:hAnsi="Times New Roman" w:eastAsia="宋体" w:cs="Times New Roman"/>
          <w:b w:val="0"/>
          <w:bCs/>
          <w:sz w:val="32"/>
          <w:szCs w:val="32"/>
        </w:rPr>
        <w:t>老</w:t>
      </w:r>
      <w:r>
        <w:rPr>
          <w:rFonts w:ascii="Times New Roman" w:hAnsi="Times New Roman" w:eastAsia="宋体" w:cs="Times New Roman"/>
          <w:bCs/>
          <w:sz w:val="32"/>
          <w:szCs w:val="32"/>
        </w:rPr>
        <w:t>师，</w:t>
      </w:r>
      <w:r>
        <w:rPr>
          <w:rFonts w:hint="eastAsia" w:ascii="Times New Roman" w:hAnsi="Times New Roman" w:eastAsia="宋体" w:cs="Times New Roman"/>
          <w:bCs/>
          <w:sz w:val="32"/>
          <w:szCs w:val="32"/>
        </w:rPr>
        <w:t>13506491127</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4124374"/>
      <w:docPartObj>
        <w:docPartGallery w:val="autotext"/>
      </w:docPartObj>
    </w:sdtPr>
    <w:sdtContent>
      <w:p w14:paraId="07232E4E">
        <w:pPr>
          <w:pStyle w:val="4"/>
          <w:jc w:val="center"/>
        </w:pPr>
        <w:r>
          <w:fldChar w:fldCharType="begin"/>
        </w:r>
        <w:r>
          <w:instrText xml:space="preserve">PAGE   \* MERGEFORMAT</w:instrText>
        </w:r>
        <w:r>
          <w:fldChar w:fldCharType="separate"/>
        </w:r>
        <w:r>
          <w:rPr>
            <w:lang w:val="zh-CN"/>
          </w:rPr>
          <w:t>3</w:t>
        </w:r>
        <w:r>
          <w:fldChar w:fldCharType="end"/>
        </w:r>
      </w:p>
    </w:sdtContent>
  </w:sdt>
  <w:p w14:paraId="7DC2CFCE">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B8B"/>
    <w:rsid w:val="000033DB"/>
    <w:rsid w:val="00003E21"/>
    <w:rsid w:val="000248DF"/>
    <w:rsid w:val="000346A5"/>
    <w:rsid w:val="00045B2A"/>
    <w:rsid w:val="00050A7A"/>
    <w:rsid w:val="00066540"/>
    <w:rsid w:val="00070752"/>
    <w:rsid w:val="00070FA6"/>
    <w:rsid w:val="0007280B"/>
    <w:rsid w:val="00083D11"/>
    <w:rsid w:val="0008487B"/>
    <w:rsid w:val="0008662E"/>
    <w:rsid w:val="000A274B"/>
    <w:rsid w:val="000B063B"/>
    <w:rsid w:val="000D5E64"/>
    <w:rsid w:val="000F6AE0"/>
    <w:rsid w:val="000F7802"/>
    <w:rsid w:val="0011183E"/>
    <w:rsid w:val="00113CAB"/>
    <w:rsid w:val="001174F5"/>
    <w:rsid w:val="0012079E"/>
    <w:rsid w:val="00157C0E"/>
    <w:rsid w:val="00161EE9"/>
    <w:rsid w:val="00162971"/>
    <w:rsid w:val="00171597"/>
    <w:rsid w:val="00171B0A"/>
    <w:rsid w:val="00175486"/>
    <w:rsid w:val="00183F73"/>
    <w:rsid w:val="0018418E"/>
    <w:rsid w:val="00187801"/>
    <w:rsid w:val="001975F4"/>
    <w:rsid w:val="001A2368"/>
    <w:rsid w:val="001A7A12"/>
    <w:rsid w:val="001B2225"/>
    <w:rsid w:val="001C6A28"/>
    <w:rsid w:val="001D0B8B"/>
    <w:rsid w:val="001D221C"/>
    <w:rsid w:val="001D3D5F"/>
    <w:rsid w:val="001E3A69"/>
    <w:rsid w:val="001E4F11"/>
    <w:rsid w:val="001F3C8D"/>
    <w:rsid w:val="001F4A2A"/>
    <w:rsid w:val="001F7762"/>
    <w:rsid w:val="0020198C"/>
    <w:rsid w:val="002049AD"/>
    <w:rsid w:val="002074CA"/>
    <w:rsid w:val="00210F62"/>
    <w:rsid w:val="00223AEC"/>
    <w:rsid w:val="00237B95"/>
    <w:rsid w:val="00240BAF"/>
    <w:rsid w:val="002415C1"/>
    <w:rsid w:val="00253F56"/>
    <w:rsid w:val="00257F94"/>
    <w:rsid w:val="0026098D"/>
    <w:rsid w:val="0027036E"/>
    <w:rsid w:val="00272944"/>
    <w:rsid w:val="00281798"/>
    <w:rsid w:val="00284C90"/>
    <w:rsid w:val="0029196B"/>
    <w:rsid w:val="002A0A4B"/>
    <w:rsid w:val="002A3818"/>
    <w:rsid w:val="002A38E7"/>
    <w:rsid w:val="002A65E2"/>
    <w:rsid w:val="002B040E"/>
    <w:rsid w:val="002B307F"/>
    <w:rsid w:val="002B4384"/>
    <w:rsid w:val="002B7B0B"/>
    <w:rsid w:val="002C4105"/>
    <w:rsid w:val="002C67B8"/>
    <w:rsid w:val="002D60BF"/>
    <w:rsid w:val="002D6B0A"/>
    <w:rsid w:val="002D6E70"/>
    <w:rsid w:val="002D7A06"/>
    <w:rsid w:val="002E0471"/>
    <w:rsid w:val="002E5222"/>
    <w:rsid w:val="002F6D05"/>
    <w:rsid w:val="00304BF5"/>
    <w:rsid w:val="00306B52"/>
    <w:rsid w:val="00344BDF"/>
    <w:rsid w:val="0035423C"/>
    <w:rsid w:val="00362B3F"/>
    <w:rsid w:val="0038109B"/>
    <w:rsid w:val="00383F25"/>
    <w:rsid w:val="0039722F"/>
    <w:rsid w:val="003B6DEB"/>
    <w:rsid w:val="003C0BF2"/>
    <w:rsid w:val="003E171A"/>
    <w:rsid w:val="003E2919"/>
    <w:rsid w:val="003E6498"/>
    <w:rsid w:val="003F356F"/>
    <w:rsid w:val="00407E47"/>
    <w:rsid w:val="00423AAC"/>
    <w:rsid w:val="00424A75"/>
    <w:rsid w:val="00431042"/>
    <w:rsid w:val="00435EF3"/>
    <w:rsid w:val="00442067"/>
    <w:rsid w:val="00445ED3"/>
    <w:rsid w:val="00453373"/>
    <w:rsid w:val="00464690"/>
    <w:rsid w:val="00471E5B"/>
    <w:rsid w:val="00473602"/>
    <w:rsid w:val="00473FAF"/>
    <w:rsid w:val="00482ACE"/>
    <w:rsid w:val="00485318"/>
    <w:rsid w:val="00485CE1"/>
    <w:rsid w:val="004A7AB2"/>
    <w:rsid w:val="004B15FB"/>
    <w:rsid w:val="004B16FD"/>
    <w:rsid w:val="004B6079"/>
    <w:rsid w:val="004B7951"/>
    <w:rsid w:val="004D1127"/>
    <w:rsid w:val="004D46CF"/>
    <w:rsid w:val="004E35FE"/>
    <w:rsid w:val="004F6858"/>
    <w:rsid w:val="00500D22"/>
    <w:rsid w:val="005019B5"/>
    <w:rsid w:val="0050447F"/>
    <w:rsid w:val="00517317"/>
    <w:rsid w:val="00527044"/>
    <w:rsid w:val="00534BE1"/>
    <w:rsid w:val="00540389"/>
    <w:rsid w:val="00542598"/>
    <w:rsid w:val="00550117"/>
    <w:rsid w:val="0055228D"/>
    <w:rsid w:val="0055423E"/>
    <w:rsid w:val="00554500"/>
    <w:rsid w:val="00555A61"/>
    <w:rsid w:val="00574B46"/>
    <w:rsid w:val="00583BDD"/>
    <w:rsid w:val="00584FC6"/>
    <w:rsid w:val="00593AE3"/>
    <w:rsid w:val="00596000"/>
    <w:rsid w:val="005963FC"/>
    <w:rsid w:val="005A077A"/>
    <w:rsid w:val="005A26BB"/>
    <w:rsid w:val="005A3623"/>
    <w:rsid w:val="005A61CA"/>
    <w:rsid w:val="005B4057"/>
    <w:rsid w:val="005B46C8"/>
    <w:rsid w:val="005C22D1"/>
    <w:rsid w:val="005E0B6A"/>
    <w:rsid w:val="005E1D15"/>
    <w:rsid w:val="005E2187"/>
    <w:rsid w:val="005E2E08"/>
    <w:rsid w:val="005E6897"/>
    <w:rsid w:val="005F6B0E"/>
    <w:rsid w:val="005F761A"/>
    <w:rsid w:val="006051B1"/>
    <w:rsid w:val="00616096"/>
    <w:rsid w:val="006177E8"/>
    <w:rsid w:val="00631710"/>
    <w:rsid w:val="00642CDA"/>
    <w:rsid w:val="00662356"/>
    <w:rsid w:val="006740E1"/>
    <w:rsid w:val="006758D4"/>
    <w:rsid w:val="006759BC"/>
    <w:rsid w:val="00687347"/>
    <w:rsid w:val="00695D01"/>
    <w:rsid w:val="006A5876"/>
    <w:rsid w:val="006B6E36"/>
    <w:rsid w:val="006C63B9"/>
    <w:rsid w:val="006D0EC9"/>
    <w:rsid w:val="006D728F"/>
    <w:rsid w:val="006E29D6"/>
    <w:rsid w:val="006F4FFA"/>
    <w:rsid w:val="006F5638"/>
    <w:rsid w:val="006F5B54"/>
    <w:rsid w:val="007017FB"/>
    <w:rsid w:val="00703BA9"/>
    <w:rsid w:val="00712CD1"/>
    <w:rsid w:val="00724469"/>
    <w:rsid w:val="00725C2D"/>
    <w:rsid w:val="007279C1"/>
    <w:rsid w:val="00731A43"/>
    <w:rsid w:val="00736222"/>
    <w:rsid w:val="00742392"/>
    <w:rsid w:val="007444FF"/>
    <w:rsid w:val="00744E16"/>
    <w:rsid w:val="0075233E"/>
    <w:rsid w:val="00772BE5"/>
    <w:rsid w:val="00773BB8"/>
    <w:rsid w:val="0077464C"/>
    <w:rsid w:val="00785559"/>
    <w:rsid w:val="00792D9D"/>
    <w:rsid w:val="007A5A91"/>
    <w:rsid w:val="007C06A0"/>
    <w:rsid w:val="007C2557"/>
    <w:rsid w:val="007D703D"/>
    <w:rsid w:val="007D753B"/>
    <w:rsid w:val="007E34BA"/>
    <w:rsid w:val="007E73E4"/>
    <w:rsid w:val="007E791D"/>
    <w:rsid w:val="007F1FD2"/>
    <w:rsid w:val="008006A7"/>
    <w:rsid w:val="00804B51"/>
    <w:rsid w:val="00811142"/>
    <w:rsid w:val="00821BFD"/>
    <w:rsid w:val="00831FF6"/>
    <w:rsid w:val="00832EB2"/>
    <w:rsid w:val="008523A1"/>
    <w:rsid w:val="008544CB"/>
    <w:rsid w:val="00874628"/>
    <w:rsid w:val="00874E11"/>
    <w:rsid w:val="0087701A"/>
    <w:rsid w:val="00882EC2"/>
    <w:rsid w:val="008852B0"/>
    <w:rsid w:val="00890498"/>
    <w:rsid w:val="008A52B9"/>
    <w:rsid w:val="008C2E07"/>
    <w:rsid w:val="008E36A3"/>
    <w:rsid w:val="008E5F12"/>
    <w:rsid w:val="008E74E8"/>
    <w:rsid w:val="008F789C"/>
    <w:rsid w:val="0091569F"/>
    <w:rsid w:val="00917FE6"/>
    <w:rsid w:val="0092233D"/>
    <w:rsid w:val="0095226A"/>
    <w:rsid w:val="00957181"/>
    <w:rsid w:val="00963FC1"/>
    <w:rsid w:val="009644AD"/>
    <w:rsid w:val="00964754"/>
    <w:rsid w:val="009761C3"/>
    <w:rsid w:val="00976BAC"/>
    <w:rsid w:val="00981098"/>
    <w:rsid w:val="009811F4"/>
    <w:rsid w:val="00984105"/>
    <w:rsid w:val="00984F0E"/>
    <w:rsid w:val="00995D99"/>
    <w:rsid w:val="00996408"/>
    <w:rsid w:val="009A629C"/>
    <w:rsid w:val="009B4626"/>
    <w:rsid w:val="009C2A56"/>
    <w:rsid w:val="009C45D7"/>
    <w:rsid w:val="009C5BB8"/>
    <w:rsid w:val="009F4721"/>
    <w:rsid w:val="009F6902"/>
    <w:rsid w:val="00A02FC9"/>
    <w:rsid w:val="00A04C7E"/>
    <w:rsid w:val="00A1743D"/>
    <w:rsid w:val="00A32EF3"/>
    <w:rsid w:val="00A33C0E"/>
    <w:rsid w:val="00A3609D"/>
    <w:rsid w:val="00A372D2"/>
    <w:rsid w:val="00A4338A"/>
    <w:rsid w:val="00A444BB"/>
    <w:rsid w:val="00A5170B"/>
    <w:rsid w:val="00A5337C"/>
    <w:rsid w:val="00A56395"/>
    <w:rsid w:val="00A74B45"/>
    <w:rsid w:val="00A81EA2"/>
    <w:rsid w:val="00A84A00"/>
    <w:rsid w:val="00AC13DE"/>
    <w:rsid w:val="00AD2442"/>
    <w:rsid w:val="00AF2D39"/>
    <w:rsid w:val="00B0382E"/>
    <w:rsid w:val="00B06A2B"/>
    <w:rsid w:val="00B11122"/>
    <w:rsid w:val="00B37D21"/>
    <w:rsid w:val="00B42BC7"/>
    <w:rsid w:val="00B56209"/>
    <w:rsid w:val="00B638BC"/>
    <w:rsid w:val="00B74B1D"/>
    <w:rsid w:val="00B7534D"/>
    <w:rsid w:val="00B8391B"/>
    <w:rsid w:val="00B83979"/>
    <w:rsid w:val="00B85CA4"/>
    <w:rsid w:val="00B913BE"/>
    <w:rsid w:val="00B92DB6"/>
    <w:rsid w:val="00BA6B48"/>
    <w:rsid w:val="00BA6CA8"/>
    <w:rsid w:val="00BB6884"/>
    <w:rsid w:val="00BB7893"/>
    <w:rsid w:val="00BC02AF"/>
    <w:rsid w:val="00BC7453"/>
    <w:rsid w:val="00BD6460"/>
    <w:rsid w:val="00BF5304"/>
    <w:rsid w:val="00C030E4"/>
    <w:rsid w:val="00C075EC"/>
    <w:rsid w:val="00C1048E"/>
    <w:rsid w:val="00C125E1"/>
    <w:rsid w:val="00C20599"/>
    <w:rsid w:val="00C6549E"/>
    <w:rsid w:val="00C932BB"/>
    <w:rsid w:val="00C934F4"/>
    <w:rsid w:val="00C94FDF"/>
    <w:rsid w:val="00CA0726"/>
    <w:rsid w:val="00CA4A84"/>
    <w:rsid w:val="00CC2D63"/>
    <w:rsid w:val="00CC41D0"/>
    <w:rsid w:val="00CD04B1"/>
    <w:rsid w:val="00CD187B"/>
    <w:rsid w:val="00CD1F45"/>
    <w:rsid w:val="00CD2AB5"/>
    <w:rsid w:val="00CE4DEC"/>
    <w:rsid w:val="00CE6942"/>
    <w:rsid w:val="00D05B69"/>
    <w:rsid w:val="00D11B1F"/>
    <w:rsid w:val="00D15D29"/>
    <w:rsid w:val="00D171B1"/>
    <w:rsid w:val="00D224DF"/>
    <w:rsid w:val="00D311B4"/>
    <w:rsid w:val="00D363C6"/>
    <w:rsid w:val="00D37682"/>
    <w:rsid w:val="00D37CE4"/>
    <w:rsid w:val="00D441BF"/>
    <w:rsid w:val="00D5112D"/>
    <w:rsid w:val="00D523FF"/>
    <w:rsid w:val="00D55B36"/>
    <w:rsid w:val="00D61B90"/>
    <w:rsid w:val="00D746B4"/>
    <w:rsid w:val="00D840FB"/>
    <w:rsid w:val="00D91862"/>
    <w:rsid w:val="00DA3237"/>
    <w:rsid w:val="00DA5D70"/>
    <w:rsid w:val="00DA65D6"/>
    <w:rsid w:val="00DA7AB7"/>
    <w:rsid w:val="00DC2C19"/>
    <w:rsid w:val="00DC3E67"/>
    <w:rsid w:val="00DE339A"/>
    <w:rsid w:val="00DF3A45"/>
    <w:rsid w:val="00DF4085"/>
    <w:rsid w:val="00E0109B"/>
    <w:rsid w:val="00E02DA8"/>
    <w:rsid w:val="00E042E0"/>
    <w:rsid w:val="00E044A9"/>
    <w:rsid w:val="00E07D84"/>
    <w:rsid w:val="00E132AE"/>
    <w:rsid w:val="00E25F0D"/>
    <w:rsid w:val="00E27443"/>
    <w:rsid w:val="00E3324F"/>
    <w:rsid w:val="00E4004C"/>
    <w:rsid w:val="00E552F2"/>
    <w:rsid w:val="00E616A7"/>
    <w:rsid w:val="00E64D44"/>
    <w:rsid w:val="00E7049C"/>
    <w:rsid w:val="00E76E58"/>
    <w:rsid w:val="00E922B4"/>
    <w:rsid w:val="00E95E90"/>
    <w:rsid w:val="00EA7AEF"/>
    <w:rsid w:val="00EC04AC"/>
    <w:rsid w:val="00EC7D0B"/>
    <w:rsid w:val="00ED382B"/>
    <w:rsid w:val="00EE552C"/>
    <w:rsid w:val="00EE6B1C"/>
    <w:rsid w:val="00EF54F1"/>
    <w:rsid w:val="00F154D8"/>
    <w:rsid w:val="00F31B8A"/>
    <w:rsid w:val="00F40082"/>
    <w:rsid w:val="00F4015A"/>
    <w:rsid w:val="00F41261"/>
    <w:rsid w:val="00F55A78"/>
    <w:rsid w:val="00F622E8"/>
    <w:rsid w:val="00F74046"/>
    <w:rsid w:val="00FA5C73"/>
    <w:rsid w:val="00FB4DE8"/>
    <w:rsid w:val="00FD2C73"/>
    <w:rsid w:val="00FD5F71"/>
    <w:rsid w:val="00FE3AA7"/>
    <w:rsid w:val="00FE4423"/>
    <w:rsid w:val="00FF20F4"/>
    <w:rsid w:val="00FF4A0E"/>
    <w:rsid w:val="06963DDF"/>
    <w:rsid w:val="1248390A"/>
    <w:rsid w:val="12AB39AF"/>
    <w:rsid w:val="17404A59"/>
    <w:rsid w:val="1E896EC5"/>
    <w:rsid w:val="231C286D"/>
    <w:rsid w:val="24A15DBE"/>
    <w:rsid w:val="2CAB4F54"/>
    <w:rsid w:val="341B2411"/>
    <w:rsid w:val="34A53A6B"/>
    <w:rsid w:val="39C7419C"/>
    <w:rsid w:val="3B9333D4"/>
    <w:rsid w:val="3CE74B9C"/>
    <w:rsid w:val="3E1D297B"/>
    <w:rsid w:val="40DD5536"/>
    <w:rsid w:val="47E82AB0"/>
    <w:rsid w:val="4FDA22A1"/>
    <w:rsid w:val="59246625"/>
    <w:rsid w:val="5BF949F3"/>
    <w:rsid w:val="5D0320A2"/>
    <w:rsid w:val="5D1D6D54"/>
    <w:rsid w:val="61701664"/>
    <w:rsid w:val="703838A9"/>
    <w:rsid w:val="74252C81"/>
    <w:rsid w:val="78471FE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8">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annotation subject"/>
    <w:basedOn w:val="2"/>
    <w:next w:val="2"/>
    <w:link w:val="18"/>
    <w:semiHidden/>
    <w:unhideWhenUsed/>
    <w:qFormat/>
    <w:uiPriority w:val="99"/>
    <w:rPr>
      <w:b/>
      <w:bCs/>
    </w:rPr>
  </w:style>
  <w:style w:type="character" w:styleId="9">
    <w:name w:val="Hyperlink"/>
    <w:basedOn w:val="8"/>
    <w:unhideWhenUsed/>
    <w:qFormat/>
    <w:uiPriority w:val="99"/>
    <w:rPr>
      <w:color w:val="0563C1" w:themeColor="hyperlink"/>
      <w:u w:val="single"/>
      <w14:textFill>
        <w14:solidFill>
          <w14:schemeClr w14:val="hlink"/>
        </w14:solidFill>
      </w14:textFill>
    </w:rPr>
  </w:style>
  <w:style w:type="character" w:styleId="10">
    <w:name w:val="annotation reference"/>
    <w:basedOn w:val="8"/>
    <w:semiHidden/>
    <w:unhideWhenUsed/>
    <w:qFormat/>
    <w:uiPriority w:val="99"/>
    <w:rPr>
      <w:sz w:val="21"/>
      <w:szCs w:val="21"/>
    </w:rPr>
  </w:style>
  <w:style w:type="character" w:customStyle="1" w:styleId="11">
    <w:name w:val="页脚 字符"/>
    <w:basedOn w:val="8"/>
    <w:link w:val="4"/>
    <w:qFormat/>
    <w:uiPriority w:val="99"/>
    <w:rPr>
      <w:sz w:val="18"/>
      <w:szCs w:val="18"/>
    </w:rPr>
  </w:style>
  <w:style w:type="character" w:customStyle="1" w:styleId="12">
    <w:name w:val="Unresolved Mention"/>
    <w:basedOn w:val="8"/>
    <w:semiHidden/>
    <w:unhideWhenUsed/>
    <w:qFormat/>
    <w:uiPriority w:val="99"/>
    <w:rPr>
      <w:color w:val="605E5C"/>
      <w:shd w:val="clear" w:color="auto" w:fill="E1DFDD"/>
    </w:rPr>
  </w:style>
  <w:style w:type="character" w:customStyle="1" w:styleId="13">
    <w:name w:val="批注文字 字符"/>
    <w:basedOn w:val="8"/>
    <w:link w:val="2"/>
    <w:semiHidden/>
    <w:qFormat/>
    <w:uiPriority w:val="99"/>
    <w:rPr>
      <w:rFonts w:ascii="Times New Roman" w:hAnsi="Times New Roman" w:eastAsia="宋体" w:cs="Times New Roman"/>
      <w:szCs w:val="20"/>
    </w:rPr>
  </w:style>
  <w:style w:type="character" w:customStyle="1" w:styleId="14">
    <w:name w:val="批注框文本 字符"/>
    <w:basedOn w:val="8"/>
    <w:link w:val="3"/>
    <w:semiHidden/>
    <w:qFormat/>
    <w:uiPriority w:val="99"/>
    <w:rPr>
      <w:rFonts w:ascii="Times New Roman" w:hAnsi="Times New Roman" w:eastAsia="宋体" w:cs="Times New Roman"/>
      <w:sz w:val="18"/>
      <w:szCs w:val="18"/>
    </w:rPr>
  </w:style>
  <w:style w:type="character" w:customStyle="1" w:styleId="15">
    <w:name w:val="页眉 字符"/>
    <w:basedOn w:val="8"/>
    <w:link w:val="5"/>
    <w:qFormat/>
    <w:uiPriority w:val="99"/>
    <w:rPr>
      <w:sz w:val="18"/>
      <w:szCs w:val="18"/>
    </w:rPr>
  </w:style>
  <w:style w:type="character" w:customStyle="1" w:styleId="16">
    <w:name w:val="未处理的提及1"/>
    <w:basedOn w:val="8"/>
    <w:semiHidden/>
    <w:unhideWhenUsed/>
    <w:qFormat/>
    <w:uiPriority w:val="99"/>
    <w:rPr>
      <w:color w:val="605E5C"/>
      <w:shd w:val="clear" w:color="auto" w:fill="E1DFDD"/>
    </w:rPr>
  </w:style>
  <w:style w:type="paragraph" w:styleId="17">
    <w:name w:val="List Paragraph"/>
    <w:basedOn w:val="1"/>
    <w:qFormat/>
    <w:uiPriority w:val="34"/>
    <w:pPr>
      <w:ind w:firstLine="420" w:firstLineChars="200"/>
    </w:pPr>
  </w:style>
  <w:style w:type="character" w:customStyle="1" w:styleId="18">
    <w:name w:val="批注主题 字符"/>
    <w:basedOn w:val="13"/>
    <w:link w:val="6"/>
    <w:semiHidden/>
    <w:qFormat/>
    <w:uiPriority w:val="99"/>
    <w:rPr>
      <w:rFonts w:ascii="Times New Roman" w:hAnsi="Times New Roman" w:eastAsia="宋体" w:cs="Times New Roman"/>
      <w:b/>
      <w:bCs/>
      <w:szCs w:val="20"/>
    </w:rPr>
  </w:style>
  <w:style w:type="paragraph" w:customStyle="1" w:styleId="19">
    <w:name w:val="Revision"/>
    <w:hidden/>
    <w:semiHidden/>
    <w:qFormat/>
    <w:uiPriority w:val="99"/>
    <w:rPr>
      <w:rFonts w:ascii="Times New Roman" w:hAnsi="Times New Roman" w:eastAsia="宋体" w:cs="Times New Roman"/>
      <w:kern w:val="2"/>
      <w:sz w:val="21"/>
      <w:szCs w:val="2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TotalTime>16</TotalTime>
  <ScaleCrop>false</ScaleCrop>
  <LinksUpToDate>false</LinksUpToDate>
  <Application>WPS Office_12.1.0.24655_F1E327BC-269C-435d-A152-05C5408002CA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2026-06-10T17:57:00Z</dcterms:created>
  <dc:creator>sunxiuli</dc:creator>
  <cp:lastModifiedBy>sunxiuli</cp:lastModifiedBy>
  <cp:lastPrinted>2026-08-24T09:58:04Z</cp:lastPrinted>
  <dcterms:modified xsi:type="dcterms:W3CDTF">2026-08-25T02:06:29Z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2FD9C27446D6496190D22EDBE5182E87_12</vt:lpwstr>
  </property>
  <property fmtid="{D5CDD505-2E9C-101B-9397-08002B2CF9AE}" pid="4" name="fileWhereFroms">
    <vt:lpwstr>PpjeLB1gRN0lwrPqMaCTkhrXF8wGZ1HBqz5Px3DDJohxoAcamkUN5qG7OQaJb10nt14jPi1VFOj6yl4IsqVm+VvDFVo11HbusfZixqhwFOWL1Kex5PfDuKQOg5o6epURD0cI1fN1/zXk7K/zdcb5V2EsA03w9UFrYFrVcJgWa1xfnfYeRfpHJTGKz1G5miZ5ijjVU7X7eQVcG7tffD58tLmi2QRuvCOXyFxgelBDIxhoy+zGxnjJ46zvqR4+svGozNS91Fdr3VOaQTpRIsHWZCCJ4C8mm44aUHlfxIGMYeN0FXyYYSGNC2vOh+CejP7hZ6CaNVqqL63U0t6TUdoZEpgvIjUaOwUqKy1QyfF5npXUABF/CWXmgoAr6bR6wzrleINKFX6ZX2sXp/lxvyETcw==</vt:lpwstr>
  </property>
</Properties>
</file>